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 и массовых коммуникаций</w:t>
      </w:r>
    </w:p>
    <w:p w14:paraId="02000000">
      <w:pPr>
        <w:ind/>
        <w:jc w:val="center"/>
      </w:pPr>
      <w:r>
        <w:rPr>
          <w:rFonts w:ascii="Arial" w:hAnsi="Arial"/>
          <w:b w:val="1"/>
        </w:rPr>
        <w:t>Федеральная служба по надзору в сфере связи, информационных технологий и массовых коммуникаций</w:t>
      </w:r>
    </w:p>
    <w:p w14:paraId="03000000">
      <w:pPr>
        <w:ind/>
        <w:jc w:val="center"/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 по Приволжскому федеральному округу</w:t>
      </w:r>
    </w:p>
    <w:p w14:paraId="04000000">
      <w:pPr>
        <w:ind/>
        <w:jc w:val="center"/>
        <w:rPr>
          <w:rFonts w:ascii="Arial" w:hAnsi="Arial"/>
          <w:b w:val="1"/>
        </w:rPr>
      </w:pPr>
    </w:p>
    <w:p w14:paraId="05000000">
      <w:pPr>
        <w:ind/>
        <w:jc w:val="center"/>
      </w:pPr>
      <w:r>
        <w:rPr>
          <w:rFonts w:ascii="Arial" w:hAnsi="Arial"/>
          <w:b w:val="1"/>
        </w:rPr>
        <w:t>Результаты деятельности за период с 01.01.202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 xml:space="preserve"> по 3</w:t>
      </w:r>
      <w:r>
        <w:rPr>
          <w:rFonts w:ascii="Arial" w:hAnsi="Arial"/>
          <w:b w:val="1"/>
        </w:rPr>
        <w:t>0.</w:t>
      </w:r>
      <w:r>
        <w:rPr>
          <w:rFonts w:ascii="Arial" w:hAnsi="Arial"/>
          <w:b w:val="1"/>
        </w:rPr>
        <w:t>0</w:t>
      </w:r>
      <w:r>
        <w:rPr>
          <w:rFonts w:ascii="Arial" w:hAnsi="Arial"/>
          <w:b w:val="1"/>
        </w:rPr>
        <w:t>6.202</w:t>
      </w:r>
      <w:r>
        <w:rPr>
          <w:rFonts w:ascii="Arial" w:hAnsi="Arial"/>
          <w:b w:val="1"/>
        </w:rPr>
        <w:t>1</w:t>
      </w:r>
    </w:p>
    <w:p w14:paraId="06000000">
      <w:pPr>
        <w:rPr>
          <w:rFonts w:ascii="Arial" w:hAnsi="Arial"/>
          <w:b w:val="1"/>
        </w:rPr>
      </w:pPr>
    </w:p>
    <w:p w14:paraId="07000000">
      <w:pPr>
        <w:numPr>
          <w:ilvl w:val="0"/>
          <w:numId w:val="1"/>
        </w:numPr>
      </w:pPr>
      <w:r>
        <w:rPr>
          <w:rFonts w:ascii="Arial" w:hAnsi="Arial"/>
          <w:b w:val="1"/>
        </w:rPr>
        <w:t>Показатели, характеризующие результаты разрешительной и регистрационной деятельности</w:t>
      </w:r>
    </w:p>
    <w:p w14:paraId="08000000">
      <w:pPr>
        <w:ind w:firstLine="0" w:left="-900"/>
        <w:rPr>
          <w:rFonts w:ascii="Arial" w:hAnsi="Arial"/>
          <w:b w:val="1"/>
        </w:rPr>
      </w:pPr>
    </w:p>
    <w:tbl>
      <w:tblPr>
        <w:tblStyle w:val="Style_1"/>
        <w:tblInd w:type="dxa" w:w="-5"/>
      </w:tblPr>
      <w:tblGrid>
        <w:gridCol w:w="720"/>
        <w:gridCol w:w="5580"/>
        <w:gridCol w:w="1326"/>
        <w:gridCol w:w="1437"/>
        <w:gridCol w:w="1315"/>
      </w:tblGrid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с начала  года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действует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00000"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00000">
            <w:r>
              <w:rPr>
                <w:rFonts w:ascii="Arial" w:hAnsi="Arial"/>
                <w:b w:val="1"/>
                <w:sz w:val="18"/>
              </w:rPr>
              <w:t>Проведено работ в приемочных комиссиях по вводу в эксплуатацию сетей (сооружений) связи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13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13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color w:val="FF0000"/>
                <w:sz w:val="18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00000"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8284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8284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76320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00000">
            <w:r>
              <w:rPr>
                <w:rFonts w:ascii="Arial" w:hAnsi="Arial"/>
                <w:b w:val="1"/>
                <w:sz w:val="18"/>
              </w:rPr>
              <w:t xml:space="preserve">Регистрация СМИ 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25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25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487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00000"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1907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1907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25491</w:t>
            </w:r>
          </w:p>
        </w:tc>
      </w:tr>
    </w:tbl>
    <w:p w14:paraId="27000000">
      <w:pPr>
        <w:ind w:hanging="900"/>
        <w:rPr>
          <w:rFonts w:ascii="Arial" w:hAnsi="Arial"/>
          <w:b w:val="1"/>
        </w:rPr>
      </w:pPr>
    </w:p>
    <w:p w14:paraId="28000000">
      <w:pPr>
        <w:numPr>
          <w:ilvl w:val="0"/>
          <w:numId w:val="1"/>
        </w:numPr>
      </w:pPr>
      <w:r>
        <w:rPr>
          <w:rFonts w:ascii="Arial" w:hAnsi="Arial"/>
          <w:b w:val="1"/>
        </w:rPr>
        <w:t>Показатели, характеризующие результаты надзорной деятельности</w:t>
      </w:r>
    </w:p>
    <w:p w14:paraId="29000000">
      <w:pPr>
        <w:ind w:firstLine="0" w:left="-900"/>
        <w:rPr>
          <w:rFonts w:ascii="Arial" w:hAnsi="Arial"/>
          <w:b w:val="1"/>
        </w:rPr>
      </w:pPr>
    </w:p>
    <w:tbl>
      <w:tblPr>
        <w:tblStyle w:val="Style_1"/>
        <w:tblInd w:type="dxa" w:w="-5"/>
      </w:tblPr>
      <w:tblGrid>
        <w:gridCol w:w="618"/>
        <w:gridCol w:w="1895"/>
        <w:gridCol w:w="893"/>
        <w:gridCol w:w="1054"/>
        <w:gridCol w:w="1050"/>
        <w:gridCol w:w="1072"/>
        <w:gridCol w:w="1040"/>
        <w:gridCol w:w="1023"/>
        <w:gridCol w:w="864"/>
        <w:gridCol w:w="633"/>
      </w:tblGrid>
      <w:tr>
        <w:trPr>
          <w:trHeight w:hRule="atLeast" w:val="915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A000000"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B000000"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с начала года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за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2E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2F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0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1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2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ИТ</w:t>
            </w:r>
          </w:p>
        </w:tc>
      </w:tr>
      <w:tr>
        <w:trPr>
          <w:trHeight w:hRule="atLeast" w:val="48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r>
              <w:rPr>
                <w:rFonts w:ascii="Arial" w:hAnsi="Arial"/>
                <w:b w:val="1"/>
                <w:sz w:val="18"/>
              </w:rPr>
              <w:t>2.1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r>
              <w:rPr>
                <w:rFonts w:ascii="Arial" w:hAnsi="Arial"/>
                <w:b w:val="1"/>
                <w:sz w:val="18"/>
              </w:rPr>
              <w:t>Проведено проверок, в том числе: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33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33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3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r>
              <w:rPr>
                <w:rFonts w:ascii="Arial" w:hAnsi="Arial"/>
                <w:b w:val="1"/>
                <w:sz w:val="18"/>
              </w:rPr>
              <w:t>2.1.1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tabs>
                <w:tab w:leader="none" w:pos="1023" w:val="center"/>
                <w:tab w:leader="none" w:pos="2047" w:val="right"/>
              </w:tabs>
              <w:ind/>
              <w:jc w:val="right"/>
              <w:rPr>
                <w:rFonts w:ascii="Arial" w:hAnsi="Arial"/>
                <w:b w:val="1"/>
                <w:i w:val="1"/>
                <w:sz w:val="16"/>
              </w:rPr>
            </w:pPr>
          </w:p>
          <w:p w14:paraId="40000000">
            <w:pPr>
              <w:tabs>
                <w:tab w:leader="none" w:pos="1023" w:val="center"/>
                <w:tab w:leader="none" w:pos="2047" w:val="right"/>
              </w:tabs>
              <w:ind/>
              <w:jc w:val="right"/>
            </w:pPr>
            <w:r>
              <w:rPr>
                <w:rFonts w:ascii="Arial" w:hAnsi="Arial"/>
                <w:i w:val="1"/>
                <w:sz w:val="16"/>
              </w:rPr>
              <w:t xml:space="preserve">плановых </w:t>
            </w:r>
          </w:p>
          <w:p w14:paraId="41000000">
            <w:pPr>
              <w:tabs>
                <w:tab w:leader="none" w:pos="1023" w:val="center"/>
                <w:tab w:leader="none" w:pos="2047" w:val="right"/>
              </w:tabs>
              <w:ind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31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31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4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4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1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4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r>
              <w:rPr>
                <w:rFonts w:ascii="Arial" w:hAnsi="Arial"/>
                <w:b w:val="1"/>
                <w:sz w:val="18"/>
              </w:rPr>
              <w:t>2.1.2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right"/>
              <w:rPr>
                <w:rFonts w:ascii="Arial" w:hAnsi="Arial"/>
                <w:b w:val="1"/>
                <w:i w:val="1"/>
                <w:sz w:val="16"/>
              </w:rPr>
            </w:pPr>
          </w:p>
          <w:p w14:paraId="4C000000">
            <w:pPr>
              <w:ind/>
              <w:jc w:val="right"/>
            </w:pPr>
            <w:r>
              <w:rPr>
                <w:rFonts w:ascii="Arial" w:hAnsi="Arial"/>
                <w:i w:val="1"/>
                <w:sz w:val="16"/>
              </w:rPr>
              <w:t>внеплановых</w:t>
            </w:r>
          </w:p>
          <w:p w14:paraId="4D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2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2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20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наблюдения, в том числе: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455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455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25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274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r>
              <w:rPr>
                <w:rFonts w:ascii="Arial" w:hAnsi="Arial"/>
                <w:b w:val="1"/>
                <w:sz w:val="18"/>
              </w:rPr>
              <w:t>2.2.1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tabs>
                <w:tab w:leader="none" w:pos="1023" w:val="center"/>
                <w:tab w:leader="none" w:pos="2047" w:val="right"/>
              </w:tabs>
              <w:ind/>
              <w:jc w:val="right"/>
            </w:pPr>
            <w:r>
              <w:rPr>
                <w:rFonts w:ascii="Arial" w:hAnsi="Arial"/>
                <w:i w:val="1"/>
                <w:sz w:val="16"/>
              </w:rPr>
              <w:t>плановых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426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426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29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25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268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104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r>
              <w:rPr>
                <w:rFonts w:ascii="Arial" w:hAnsi="Arial"/>
                <w:b w:val="1"/>
                <w:sz w:val="18"/>
              </w:rPr>
              <w:t>2.2.2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tabs>
                <w:tab w:leader="none" w:pos="1023" w:val="center"/>
                <w:tab w:leader="none" w:pos="2047" w:val="right"/>
              </w:tabs>
              <w:ind/>
              <w:jc w:val="right"/>
            </w:pPr>
            <w:r>
              <w:rPr>
                <w:rFonts w:ascii="Arial" w:hAnsi="Arial"/>
                <w:i w:val="1"/>
                <w:sz w:val="16"/>
              </w:rPr>
              <w:t>внеплановых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29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29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23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6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653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r>
              <w:rPr>
                <w:rFonts w:ascii="Arial" w:hAnsi="Arial"/>
                <w:b w:val="1"/>
                <w:sz w:val="18"/>
              </w:rPr>
              <w:t>2.3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r>
              <w:rPr>
                <w:rFonts w:ascii="Arial" w:hAnsi="Arial"/>
                <w:b w:val="1"/>
                <w:sz w:val="18"/>
              </w:rPr>
              <w:t>Выявлено нарушений норм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646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646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27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332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266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r>
              <w:rPr>
                <w:rFonts w:ascii="Arial" w:hAnsi="Arial"/>
                <w:b w:val="1"/>
                <w:sz w:val="18"/>
              </w:rPr>
              <w:t>2.4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r>
              <w:rPr>
                <w:rFonts w:ascii="Arial" w:hAnsi="Arial"/>
                <w:b w:val="1"/>
                <w:sz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687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r>
              <w:rPr>
                <w:rFonts w:ascii="Arial" w:hAnsi="Arial"/>
                <w:b w:val="1"/>
                <w:sz w:val="18"/>
              </w:rPr>
              <w:t>2.5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r>
              <w:rPr>
                <w:rFonts w:ascii="Arial" w:hAnsi="Arial"/>
                <w:b w:val="1"/>
                <w:sz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r>
              <w:rPr>
                <w:rFonts w:ascii="Arial" w:hAnsi="Arial"/>
                <w:b w:val="1"/>
                <w:sz w:val="18"/>
              </w:rPr>
              <w:t>2.6</w:t>
            </w:r>
          </w:p>
        </w:tc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r>
              <w:rPr>
                <w:rFonts w:ascii="Arial" w:hAnsi="Arial"/>
                <w:b w:val="1"/>
                <w:sz w:val="18"/>
              </w:rPr>
              <w:t>Выявлено не разрешенных для использования РЭС и ВЧУ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</w:tbl>
    <w:p w14:paraId="9C000000">
      <w:pPr>
        <w:ind w:hanging="900"/>
        <w:rPr>
          <w:rFonts w:ascii="Arial" w:hAnsi="Arial"/>
          <w:b w:val="1"/>
          <w:color w:val="FF0000"/>
        </w:rPr>
      </w:pPr>
    </w:p>
    <w:p w14:paraId="9D000000">
      <w:pPr>
        <w:ind w:hanging="900"/>
        <w:rPr>
          <w:rFonts w:ascii="Arial" w:hAnsi="Arial"/>
          <w:b w:val="1"/>
          <w:color w:val="FF0000"/>
        </w:rPr>
      </w:pPr>
    </w:p>
    <w:p w14:paraId="9E000000">
      <w:pPr>
        <w:ind w:hanging="900"/>
        <w:rPr>
          <w:rFonts w:ascii="Arial" w:hAnsi="Arial"/>
          <w:b w:val="1"/>
          <w:color w:val="FF0000"/>
        </w:rPr>
      </w:pPr>
    </w:p>
    <w:p w14:paraId="9F000000">
      <w:pPr>
        <w:numPr>
          <w:ilvl w:val="0"/>
          <w:numId w:val="1"/>
        </w:numPr>
      </w:pPr>
      <w:r>
        <w:rPr>
          <w:rFonts w:ascii="Arial" w:hAnsi="Arial"/>
          <w:b w:val="1"/>
        </w:rPr>
        <w:t>Показатели, характеризующие объемы принятых мер пресекательного характера</w:t>
      </w:r>
    </w:p>
    <w:p w14:paraId="A0000000">
      <w:pPr>
        <w:ind w:firstLine="0" w:left="-900"/>
        <w:rPr>
          <w:rFonts w:ascii="Arial" w:hAnsi="Arial"/>
          <w:b w:val="1"/>
          <w:color w:val="FF0000"/>
        </w:rPr>
      </w:pPr>
    </w:p>
    <w:tbl>
      <w:tblPr>
        <w:tblStyle w:val="Style_1"/>
        <w:tblInd w:type="dxa" w:w="-5"/>
      </w:tblPr>
      <w:tblGrid>
        <w:gridCol w:w="663"/>
        <w:gridCol w:w="2438"/>
        <w:gridCol w:w="954"/>
        <w:gridCol w:w="925"/>
        <w:gridCol w:w="841"/>
        <w:gridCol w:w="1018"/>
        <w:gridCol w:w="963"/>
        <w:gridCol w:w="827"/>
        <w:gridCol w:w="772"/>
        <w:gridCol w:w="741"/>
      </w:tblGrid>
      <w:tr>
        <w:trPr>
          <w:trHeight w:hRule="atLeast" w:val="90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A1000000">
            <w:pPr>
              <w:rPr>
                <w:color w:val="FF0000"/>
              </w:rPr>
            </w:pPr>
            <w:r>
              <w:rPr>
                <w:rFonts w:ascii="Arial" w:hAnsi="Arial"/>
                <w:b w:val="1"/>
                <w:color w:val="FF0000"/>
                <w:sz w:val="18"/>
              </w:rPr>
              <w:t> 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A2000000">
            <w:pPr>
              <w:rPr>
                <w:color w:val="FF0000"/>
              </w:rPr>
            </w:pPr>
            <w:r>
              <w:rPr>
                <w:rFonts w:ascii="Arial" w:hAnsi="Arial"/>
                <w:b w:val="1"/>
                <w:color w:val="FF0000"/>
                <w:sz w:val="18"/>
              </w:rPr>
              <w:t> 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с начала года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за период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A5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ИТ</w:t>
            </w:r>
          </w:p>
        </w:tc>
      </w:tr>
      <w:tr>
        <w:trPr>
          <w:trHeight w:hRule="atLeast" w:val="48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39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r>
              <w:rPr>
                <w:rFonts w:ascii="Arial" w:hAnsi="Arial"/>
                <w:b w:val="1"/>
                <w:sz w:val="18"/>
              </w:rPr>
              <w:t>Выдано предупреждений о приостановке действия лицензии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B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r>
              <w:rPr>
                <w:rFonts w:ascii="Arial" w:hAnsi="Arial"/>
                <w:b w:val="1"/>
                <w:sz w:val="18"/>
              </w:rPr>
              <w:t>3.3</w:t>
            </w:r>
          </w:p>
          <w:p w14:paraId="C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978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978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C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36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C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632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C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138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C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172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774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774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36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432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134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172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r>
              <w:rPr>
                <w:rFonts w:ascii="Arial" w:hAnsi="Arial"/>
                <w:b w:val="1"/>
                <w:sz w:val="18"/>
              </w:rPr>
              <w:t>3.4.1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 w:firstLine="0" w:left="143"/>
            </w:pPr>
            <w:r>
              <w:rPr>
                <w:rFonts w:ascii="Arial" w:hAnsi="Arial"/>
                <w:i w:val="1"/>
                <w:sz w:val="16"/>
              </w:rPr>
              <w:t>- Роскомнадзором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390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390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8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354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28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D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r>
              <w:rPr>
                <w:rFonts w:ascii="Arial" w:hAnsi="Arial"/>
                <w:b w:val="1"/>
                <w:sz w:val="18"/>
              </w:rPr>
              <w:t>3.4.2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 w:firstLine="0" w:left="143"/>
            </w:pPr>
            <w:r>
              <w:rPr>
                <w:rFonts w:ascii="Arial" w:hAnsi="Arial"/>
                <w:i w:val="1"/>
                <w:sz w:val="16"/>
              </w:rPr>
              <w:t>- судами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384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384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2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28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78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106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172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r>
              <w:rPr>
                <w:rFonts w:ascii="Arial" w:hAnsi="Arial"/>
                <w:b w:val="1"/>
                <w:sz w:val="18"/>
              </w:rPr>
              <w:t>Наложено административных штрафов (тыс. руб.)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5143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5143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C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D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79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4660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,5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EF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318,5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F0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85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r>
              <w:rPr>
                <w:rFonts w:ascii="Arial" w:hAnsi="Arial"/>
                <w:b w:val="1"/>
                <w:sz w:val="18"/>
              </w:rPr>
              <w:t>Взыскано административных штрафов (тыс. руб.)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3184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3184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F6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F7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F8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3169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F9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FA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r>
              <w:rPr>
                <w:rFonts w:ascii="Arial" w:hAnsi="Arial"/>
                <w:b w:val="1"/>
                <w:sz w:val="18"/>
              </w:rPr>
              <w:t>3.7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r>
              <w:rPr>
                <w:rFonts w:ascii="Arial" w:hAnsi="Arial"/>
                <w:b w:val="1"/>
                <w:sz w:val="18"/>
              </w:rPr>
              <w:t>Аннулировано СМИ всего, в том числе: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26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0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1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2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3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26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4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r>
              <w:rPr>
                <w:rFonts w:ascii="Arial" w:hAnsi="Arial"/>
                <w:b w:val="1"/>
                <w:sz w:val="18"/>
              </w:rPr>
              <w:t>3.7.1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 w:firstLine="0" w:left="143"/>
            </w:pPr>
            <w:r>
              <w:rPr>
                <w:rFonts w:ascii="Arial" w:hAnsi="Arial"/>
                <w:i w:val="1"/>
                <w:sz w:val="16"/>
              </w:rPr>
              <w:t>- по решению суда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B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C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D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0E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r>
              <w:rPr>
                <w:rFonts w:ascii="Arial" w:hAnsi="Arial"/>
                <w:b w:val="1"/>
                <w:sz w:val="18"/>
              </w:rPr>
              <w:t>3.7.2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ind w:firstLine="0" w:left="143"/>
            </w:pPr>
            <w:r>
              <w:rPr>
                <w:rFonts w:ascii="Arial" w:hAnsi="Arial"/>
                <w:i w:val="1"/>
                <w:sz w:val="16"/>
              </w:rPr>
              <w:t>- по решению учредителя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23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23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14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16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17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23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18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r>
              <w:rPr>
                <w:rFonts w:ascii="Arial" w:hAnsi="Arial"/>
                <w:b w:val="1"/>
                <w:sz w:val="18"/>
              </w:rPr>
              <w:t>3.7.3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- по причине прекращения деятельности юридического лица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1E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1F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20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21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22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</w:tr>
    </w:tbl>
    <w:p w14:paraId="24010000">
      <w:pPr>
        <w:ind w:hanging="900"/>
        <w:rPr>
          <w:rFonts w:ascii="Arial" w:hAnsi="Arial"/>
          <w:b w:val="1"/>
        </w:rPr>
      </w:pPr>
    </w:p>
    <w:p w14:paraId="2501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 w:val="1"/>
        </w:rPr>
        <w:t>Показатели, характеризующие работу с обращениями граждан, юридических лиц и индивидуальных предпринимателей</w:t>
      </w:r>
    </w:p>
    <w:p w14:paraId="26010000">
      <w:pPr>
        <w:ind w:firstLine="0" w:left="-900"/>
        <w:rPr>
          <w:rFonts w:ascii="Arial" w:hAnsi="Arial"/>
          <w:b w:val="1"/>
        </w:rPr>
      </w:pPr>
    </w:p>
    <w:tbl>
      <w:tblPr>
        <w:tblStyle w:val="Style_1"/>
        <w:tblInd w:type="dxa" w:w="-5"/>
      </w:tblPr>
      <w:tblGrid>
        <w:gridCol w:w="720"/>
        <w:gridCol w:w="6660"/>
        <w:gridCol w:w="1620"/>
        <w:gridCol w:w="1630"/>
      </w:tblGrid>
      <w:tr>
        <w:trPr>
          <w:trHeight w:hRule="atLeast" w:val="48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7010000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8010000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с начала года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1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Всего за период</w:t>
            </w:r>
          </w:p>
        </w:tc>
      </w:tr>
      <w:tr>
        <w:trPr>
          <w:trHeight w:hRule="atLeast" w:val="262"/>
        </w:trPr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10000">
            <w:r>
              <w:rPr>
                <w:rFonts w:ascii="Arial" w:hAnsi="Arial"/>
                <w:b w:val="1"/>
                <w:sz w:val="18"/>
              </w:rPr>
              <w:t>4.1</w:t>
            </w:r>
          </w:p>
        </w:tc>
        <w:tc>
          <w:tcPr>
            <w:tcW w:type="dxa" w:w="6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r>
              <w:rPr>
                <w:rFonts w:ascii="Arial" w:hAnsi="Arial"/>
                <w:b w:val="1"/>
                <w:sz w:val="18"/>
              </w:rPr>
              <w:t>Поступило обращений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4058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4058</w:t>
            </w:r>
          </w:p>
        </w:tc>
      </w:tr>
      <w:tr>
        <w:trPr>
          <w:trHeight w:hRule="atLeast" w:val="343"/>
        </w:trPr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10000">
            <w:r>
              <w:rPr>
                <w:rFonts w:ascii="Arial" w:hAnsi="Arial"/>
                <w:b w:val="1"/>
                <w:sz w:val="18"/>
              </w:rPr>
              <w:t>4.1.1</w:t>
            </w:r>
          </w:p>
        </w:tc>
        <w:tc>
          <w:tcPr>
            <w:tcW w:type="dxa" w:w="666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10000">
            <w:r>
              <w:rPr>
                <w:rFonts w:ascii="Arial" w:hAnsi="Arial"/>
                <w:b w:val="1"/>
                <w:sz w:val="18"/>
              </w:rPr>
              <w:t>Проведено внеплановых проверок на основании поступивших обращений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</w:tbl>
    <w:p w14:paraId="33010000">
      <w:pPr>
        <w:rPr>
          <w:rFonts w:ascii="Arial" w:hAnsi="Arial"/>
        </w:rPr>
      </w:pPr>
    </w:p>
    <w:sectPr>
      <w:pgSz w:h="16838" w:w="11906"/>
      <w:pgMar w:bottom="567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Arial" w:hAnsi="Arial"/>
        <w:sz w:val="24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color w:val="000000"/>
      <w:sz w:val="24"/>
    </w:rPr>
  </w:style>
  <w:style w:default="1" w:styleId="Style_2_ch" w:type="character">
    <w:name w:val="Normal"/>
    <w:link w:val="Style_2"/>
    <w:rPr>
      <w:color w:val="000000"/>
      <w:sz w:val="24"/>
    </w:rPr>
  </w:style>
  <w:style w:styleId="Style_3" w:type="paragraph">
    <w:name w:val="Основной шрифт абзаца1_0"/>
    <w:link w:val="Style_3_ch"/>
    <w:rPr>
      <w:color w:val="000000"/>
    </w:rPr>
  </w:style>
  <w:style w:styleId="Style_3_ch" w:type="character">
    <w:name w:val="Основной шрифт абзаца1_0"/>
    <w:link w:val="Style_3"/>
    <w:rPr>
      <w:color w:val="000000"/>
    </w:rPr>
  </w:style>
  <w:style w:styleId="Style_4" w:type="paragraph">
    <w:name w:val="Body Text"/>
    <w:basedOn w:val="Style_2"/>
    <w:link w:val="Style_4_ch"/>
    <w:pPr>
      <w:spacing w:after="140" w:line="288" w:lineRule="auto"/>
      <w:ind/>
    </w:pPr>
  </w:style>
  <w:style w:styleId="Style_4_ch" w:type="character">
    <w:name w:val="Body Text"/>
    <w:basedOn w:val="Style_2_ch"/>
    <w:link w:val="Style_4"/>
  </w:style>
  <w:style w:styleId="Style_5" w:type="paragraph">
    <w:name w:val="Balloon Text"/>
    <w:basedOn w:val="Style_2"/>
    <w:link w:val="Style_5_ch"/>
    <w:rPr>
      <w:rFonts w:ascii="Tahoma" w:hAnsi="Tahoma"/>
      <w:sz w:val="16"/>
    </w:rPr>
  </w:style>
  <w:style w:styleId="Style_5_ch" w:type="character">
    <w:name w:val="Balloon Text"/>
    <w:basedOn w:val="Style_2_ch"/>
    <w:link w:val="Style_5"/>
    <w:rPr>
      <w:rFonts w:ascii="Tahoma" w:hAnsi="Tahoma"/>
      <w:sz w:val="16"/>
    </w:rPr>
  </w:style>
  <w:style w:styleId="Style_6" w:type="paragraph">
    <w:name w:val="toc 2"/>
    <w:next w:val="Style_2"/>
    <w:link w:val="Style_6_ch"/>
    <w:uiPriority w:val="39"/>
    <w:pPr>
      <w:ind w:firstLine="0" w:left="200"/>
    </w:pPr>
    <w:rPr>
      <w:color w:val="000000"/>
    </w:rPr>
  </w:style>
  <w:style w:styleId="Style_6_ch" w:type="character">
    <w:name w:val="toc 2"/>
    <w:link w:val="Style_6"/>
    <w:rPr>
      <w:color w:val="000000"/>
    </w:rPr>
  </w:style>
  <w:style w:styleId="Style_7" w:type="paragraph">
    <w:name w:val="toc 4"/>
    <w:next w:val="Style_2"/>
    <w:link w:val="Style_7_ch"/>
    <w:uiPriority w:val="39"/>
    <w:pPr>
      <w:ind w:firstLine="0" w:left="600"/>
    </w:pPr>
    <w:rPr>
      <w:color w:val="000000"/>
    </w:rPr>
  </w:style>
  <w:style w:styleId="Style_7_ch" w:type="character">
    <w:name w:val="toc 4"/>
    <w:link w:val="Style_7"/>
    <w:rPr>
      <w:color w:val="000000"/>
    </w:rPr>
  </w:style>
  <w:style w:styleId="Style_8" w:type="paragraph">
    <w:name w:val="WW8Num1z1"/>
    <w:link w:val="Style_8_ch"/>
    <w:rPr>
      <w:color w:val="000000"/>
    </w:rPr>
  </w:style>
  <w:style w:styleId="Style_8_ch" w:type="character">
    <w:name w:val="WW8Num1z1"/>
    <w:link w:val="Style_8"/>
    <w:rPr>
      <w:color w:val="000000"/>
    </w:rPr>
  </w:style>
  <w:style w:styleId="Style_9" w:type="paragraph">
    <w:name w:val="toc 6"/>
    <w:next w:val="Style_2"/>
    <w:link w:val="Style_9_ch"/>
    <w:uiPriority w:val="39"/>
    <w:pPr>
      <w:ind w:firstLine="0" w:left="1000"/>
    </w:pPr>
    <w:rPr>
      <w:color w:val="000000"/>
    </w:rPr>
  </w:style>
  <w:style w:styleId="Style_9_ch" w:type="character">
    <w:name w:val="toc 6"/>
    <w:link w:val="Style_9"/>
    <w:rPr>
      <w:color w:val="000000"/>
    </w:rPr>
  </w:style>
  <w:style w:styleId="Style_10" w:type="paragraph">
    <w:name w:val="toc 7"/>
    <w:next w:val="Style_2"/>
    <w:link w:val="Style_10_ch"/>
    <w:uiPriority w:val="39"/>
    <w:pPr>
      <w:ind w:firstLine="0" w:left="1200"/>
    </w:pPr>
    <w:rPr>
      <w:color w:val="000000"/>
    </w:rPr>
  </w:style>
  <w:style w:styleId="Style_10_ch" w:type="character">
    <w:name w:val="toc 7"/>
    <w:link w:val="Style_10"/>
    <w:rPr>
      <w:color w:val="000000"/>
    </w:rPr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Основной шрифт абзаца1"/>
    <w:link w:val="Style_12_ch"/>
    <w:rPr>
      <w:color w:val="000000"/>
    </w:rPr>
  </w:style>
  <w:style w:styleId="Style_12_ch" w:type="character">
    <w:name w:val="Основной шрифт абзаца1"/>
    <w:link w:val="Style_12"/>
    <w:rPr>
      <w:color w:val="000000"/>
    </w:rPr>
  </w:style>
  <w:style w:styleId="Style_13" w:type="paragraph">
    <w:name w:val="Заголовок"/>
    <w:basedOn w:val="Style_2"/>
    <w:next w:val="Style_4"/>
    <w:link w:val="Style_1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_ch" w:type="character">
    <w:name w:val="Заголовок"/>
    <w:basedOn w:val="Style_2_ch"/>
    <w:link w:val="Style_13"/>
    <w:rPr>
      <w:rFonts w:ascii="Liberation Sans" w:hAnsi="Liberation Sans"/>
      <w:sz w:val="28"/>
    </w:rPr>
  </w:style>
  <w:style w:styleId="Style_14" w:type="paragraph">
    <w:name w:val="Указатель1"/>
    <w:basedOn w:val="Style_2"/>
    <w:link w:val="Style_14_ch"/>
  </w:style>
  <w:style w:styleId="Style_14_ch" w:type="character">
    <w:name w:val="Указатель1"/>
    <w:basedOn w:val="Style_2_ch"/>
    <w:link w:val="Style_14"/>
  </w:style>
  <w:style w:styleId="Style_15" w:type="paragraph">
    <w:name w:val="WW8Num1z6"/>
    <w:link w:val="Style_15_ch"/>
    <w:rPr>
      <w:color w:val="000000"/>
    </w:rPr>
  </w:style>
  <w:style w:styleId="Style_15_ch" w:type="character">
    <w:name w:val="WW8Num1z6"/>
    <w:link w:val="Style_15"/>
    <w:rPr>
      <w:color w:val="000000"/>
    </w:rPr>
  </w:style>
  <w:style w:styleId="Style_16" w:type="paragraph">
    <w:name w:val="WW8Num1z8"/>
    <w:link w:val="Style_16_ch"/>
    <w:rPr>
      <w:color w:val="000000"/>
    </w:rPr>
  </w:style>
  <w:style w:styleId="Style_16_ch" w:type="character">
    <w:name w:val="WW8Num1z8"/>
    <w:link w:val="Style_16"/>
    <w:rPr>
      <w:color w:val="000000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toc 3"/>
    <w:next w:val="Style_2"/>
    <w:link w:val="Style_18_ch"/>
    <w:uiPriority w:val="39"/>
    <w:pPr>
      <w:ind w:firstLine="0" w:left="400"/>
    </w:pPr>
    <w:rPr>
      <w:color w:val="000000"/>
    </w:rPr>
  </w:style>
  <w:style w:styleId="Style_18_ch" w:type="character">
    <w:name w:val="toc 3"/>
    <w:link w:val="Style_18"/>
    <w:rPr>
      <w:color w:val="000000"/>
    </w:rPr>
  </w:style>
  <w:style w:styleId="Style_19" w:type="paragraph">
    <w:name w:val="caption"/>
    <w:basedOn w:val="Style_2"/>
    <w:link w:val="Style_19_ch"/>
    <w:pPr>
      <w:spacing w:after="120" w:before="120"/>
      <w:ind/>
    </w:pPr>
    <w:rPr>
      <w:i w:val="1"/>
    </w:rPr>
  </w:style>
  <w:style w:styleId="Style_19_ch" w:type="character">
    <w:name w:val="caption"/>
    <w:basedOn w:val="Style_2_ch"/>
    <w:link w:val="Style_19"/>
    <w:rPr>
      <w:i w:val="1"/>
    </w:rPr>
  </w:style>
  <w:style w:styleId="Style_20" w:type="paragraph">
    <w:name w:val="WW8Num1z2"/>
    <w:link w:val="Style_20_ch"/>
    <w:rPr>
      <w:color w:val="000000"/>
    </w:rPr>
  </w:style>
  <w:style w:styleId="Style_20_ch" w:type="character">
    <w:name w:val="WW8Num1z2"/>
    <w:link w:val="Style_20"/>
    <w:rPr>
      <w:color w:val="000000"/>
    </w:rPr>
  </w:style>
  <w:style w:styleId="Style_21" w:type="paragraph">
    <w:name w:val="Содержимое таблицы"/>
    <w:basedOn w:val="Style_2"/>
    <w:link w:val="Style_21_ch"/>
  </w:style>
  <w:style w:styleId="Style_21_ch" w:type="character">
    <w:name w:val="Содержимое таблицы"/>
    <w:basedOn w:val="Style_2_ch"/>
    <w:link w:val="Style_21"/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rPr>
      <w:rFonts w:ascii="XO Thames" w:hAnsi="XO Thames"/>
      <w:b w:val="1"/>
      <w:color w:val="000000"/>
    </w:rPr>
  </w:style>
  <w:style w:styleId="Style_26_ch" w:type="character">
    <w:name w:val="toc 1"/>
    <w:link w:val="Style_26"/>
    <w:rPr>
      <w:rFonts w:ascii="XO Thames" w:hAnsi="XO Thames"/>
      <w:b w:val="1"/>
      <w:color w:val="000000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color w:val="000000"/>
    </w:rPr>
  </w:style>
  <w:style w:styleId="Style_27_ch" w:type="character">
    <w:name w:val="Header and Footer"/>
    <w:link w:val="Style_27"/>
    <w:rPr>
      <w:rFonts w:ascii="XO Thames" w:hAnsi="XO Thames"/>
      <w:color w:val="000000"/>
    </w:rPr>
  </w:style>
  <w:style w:styleId="Style_28" w:type="paragraph">
    <w:name w:val="Заголовок таблицы"/>
    <w:basedOn w:val="Style_21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21_ch"/>
    <w:link w:val="Style_28"/>
    <w:rPr>
      <w:b w:val="1"/>
    </w:rPr>
  </w:style>
  <w:style w:styleId="Style_29" w:type="paragraph">
    <w:name w:val="WW8Num1z5"/>
    <w:link w:val="Style_29_ch"/>
    <w:rPr>
      <w:color w:val="000000"/>
    </w:rPr>
  </w:style>
  <w:style w:styleId="Style_29_ch" w:type="character">
    <w:name w:val="WW8Num1z5"/>
    <w:link w:val="Style_29"/>
    <w:rPr>
      <w:color w:val="000000"/>
    </w:rPr>
  </w:style>
  <w:style w:styleId="Style_30" w:type="paragraph">
    <w:name w:val="toc 9"/>
    <w:next w:val="Style_2"/>
    <w:link w:val="Style_30_ch"/>
    <w:uiPriority w:val="39"/>
    <w:pPr>
      <w:ind w:firstLine="0" w:left="1600"/>
    </w:pPr>
    <w:rPr>
      <w:color w:val="000000"/>
    </w:rPr>
  </w:style>
  <w:style w:styleId="Style_30_ch" w:type="character">
    <w:name w:val="toc 9"/>
    <w:link w:val="Style_30"/>
    <w:rPr>
      <w:color w:val="000000"/>
    </w:rPr>
  </w:style>
  <w:style w:styleId="Style_31" w:type="paragraph">
    <w:name w:val="List"/>
    <w:basedOn w:val="Style_4"/>
    <w:link w:val="Style_31_ch"/>
  </w:style>
  <w:style w:styleId="Style_31_ch" w:type="character">
    <w:name w:val="List"/>
    <w:basedOn w:val="Style_4_ch"/>
    <w:link w:val="Style_31"/>
  </w:style>
  <w:style w:styleId="Style_32" w:type="paragraph">
    <w:name w:val="toc 8"/>
    <w:next w:val="Style_2"/>
    <w:link w:val="Style_32_ch"/>
    <w:uiPriority w:val="39"/>
    <w:pPr>
      <w:ind w:firstLine="0" w:left="1400"/>
    </w:pPr>
    <w:rPr>
      <w:color w:val="000000"/>
    </w:rPr>
  </w:style>
  <w:style w:styleId="Style_32_ch" w:type="character">
    <w:name w:val="toc 8"/>
    <w:link w:val="Style_32"/>
    <w:rPr>
      <w:color w:val="000000"/>
    </w:rPr>
  </w:style>
  <w:style w:styleId="Style_33" w:type="paragraph">
    <w:name w:val="Обычный1"/>
    <w:link w:val="Style_33_ch"/>
    <w:rPr>
      <w:sz w:val="24"/>
    </w:rPr>
  </w:style>
  <w:style w:styleId="Style_33_ch" w:type="character">
    <w:name w:val="Обычный1"/>
    <w:link w:val="Style_33"/>
    <w:rPr>
      <w:sz w:val="24"/>
    </w:rPr>
  </w:style>
  <w:style w:styleId="Style_34" w:type="paragraph">
    <w:name w:val="WW8Num1z1_0"/>
    <w:link w:val="Style_34_ch"/>
    <w:rPr>
      <w:color w:val="000000"/>
    </w:rPr>
  </w:style>
  <w:style w:styleId="Style_34_ch" w:type="character">
    <w:name w:val="WW8Num1z1_0"/>
    <w:link w:val="Style_34"/>
    <w:rPr>
      <w:color w:val="000000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WW8Num1z7"/>
    <w:link w:val="Style_36_ch"/>
    <w:rPr>
      <w:color w:val="000000"/>
    </w:rPr>
  </w:style>
  <w:style w:styleId="Style_36_ch" w:type="character">
    <w:name w:val="WW8Num1z7"/>
    <w:link w:val="Style_36"/>
    <w:rPr>
      <w:color w:val="000000"/>
    </w:rPr>
  </w:style>
  <w:style w:styleId="Style_37" w:type="paragraph">
    <w:name w:val="toc 5"/>
    <w:next w:val="Style_2"/>
    <w:link w:val="Style_37_ch"/>
    <w:uiPriority w:val="39"/>
    <w:pPr>
      <w:ind w:firstLine="0" w:left="800"/>
    </w:pPr>
    <w:rPr>
      <w:color w:val="000000"/>
    </w:rPr>
  </w:style>
  <w:style w:styleId="Style_37_ch" w:type="character">
    <w:name w:val="toc 5"/>
    <w:link w:val="Style_37"/>
    <w:rPr>
      <w:color w:val="000000"/>
    </w:rPr>
  </w:style>
  <w:style w:styleId="Style_38" w:type="paragraph">
    <w:name w:val="WW8Num1z0"/>
    <w:link w:val="Style_38_ch"/>
    <w:rPr>
      <w:color w:val="000000"/>
    </w:rPr>
  </w:style>
  <w:style w:styleId="Style_38_ch" w:type="character">
    <w:name w:val="WW8Num1z0"/>
    <w:link w:val="Style_38"/>
    <w:rPr>
      <w:color w:val="000000"/>
    </w:rPr>
  </w:style>
  <w:style w:styleId="Style_39" w:type="paragraph">
    <w:name w:val="Subtitle"/>
    <w:next w:val="Style_2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WW8Num1z4"/>
    <w:link w:val="Style_40_ch"/>
    <w:rPr>
      <w:color w:val="000000"/>
    </w:rPr>
  </w:style>
  <w:style w:styleId="Style_40_ch" w:type="character">
    <w:name w:val="WW8Num1z4"/>
    <w:link w:val="Style_40"/>
    <w:rPr>
      <w:color w:val="000000"/>
    </w:rPr>
  </w:style>
  <w:style w:styleId="Style_41" w:type="paragraph">
    <w:name w:val="toc 10"/>
    <w:next w:val="Style_2"/>
    <w:link w:val="Style_41_ch"/>
    <w:uiPriority w:val="39"/>
    <w:pPr>
      <w:ind w:firstLine="0" w:left="1800"/>
    </w:pPr>
    <w:rPr>
      <w:color w:val="000000"/>
    </w:rPr>
  </w:style>
  <w:style w:styleId="Style_41_ch" w:type="character">
    <w:name w:val="toc 10"/>
    <w:link w:val="Style_41"/>
    <w:rPr>
      <w:color w:val="000000"/>
    </w:rPr>
  </w:style>
  <w:style w:styleId="Style_42" w:type="paragraph">
    <w:name w:val="WW8Num1z3"/>
    <w:link w:val="Style_42_ch"/>
    <w:rPr>
      <w:color w:val="000000"/>
    </w:rPr>
  </w:style>
  <w:style w:styleId="Style_42_ch" w:type="character">
    <w:name w:val="WW8Num1z3"/>
    <w:link w:val="Style_42"/>
    <w:rPr>
      <w:color w:val="000000"/>
    </w:rPr>
  </w:style>
  <w:style w:styleId="Style_43" w:type="paragraph">
    <w:name w:val="Title"/>
    <w:next w:val="Style_2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next w:val="Style_2"/>
    <w:link w:val="Style_4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4_ch" w:type="character">
    <w:name w:val="heading 4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heading 2"/>
    <w:next w:val="Style_2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2021-07-29T13:00:31Z</dcterms:modified>
</cp:coreProperties>
</file>