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F1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4A0FF1">
        <w:rPr>
          <w:color w:val="auto"/>
          <w:lang w:val="ru-RU"/>
        </w:rPr>
        <w:t>.</w:t>
      </w:r>
      <w:r>
        <w:rPr>
          <w:color w:val="auto"/>
        </w:rPr>
        <w:t xml:space="preserve"> </w:t>
      </w:r>
    </w:p>
    <w:p w:rsidR="004A0FF1" w:rsidRDefault="004A0FF1" w:rsidP="00667178">
      <w:pPr>
        <w:pStyle w:val="BodyText"/>
        <w:spacing w:line="240" w:lineRule="auto"/>
        <w:ind w:firstLine="720"/>
        <w:rPr>
          <w:color w:val="auto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B80E02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D21CE3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</w:t>
      </w:r>
      <w:r>
        <w:rPr>
          <w:sz w:val="28"/>
          <w:szCs w:val="28"/>
        </w:rPr>
        <w:t xml:space="preserve"> </w:t>
      </w:r>
      <w:r w:rsidRPr="00B80E02">
        <w:rPr>
          <w:b/>
          <w:sz w:val="28"/>
          <w:szCs w:val="28"/>
        </w:rPr>
        <w:t>538</w:t>
      </w:r>
      <w:r w:rsidR="00D21CE3" w:rsidRPr="00B80E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учетом дубликатов – 552</w:t>
      </w:r>
      <w:r w:rsidR="00667178">
        <w:rPr>
          <w:bCs/>
          <w:sz w:val="28"/>
          <w:szCs w:val="28"/>
        </w:rPr>
        <w:t xml:space="preserve">) </w:t>
      </w:r>
      <w:r w:rsidR="00D21CE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540A2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386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540A2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152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540A2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540A2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540A2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226D3E" w:rsidRDefault="00540A2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226D3E" w:rsidRPr="00226D3E">
        <w:rPr>
          <w:bCs/>
          <w:sz w:val="28"/>
          <w:szCs w:val="28"/>
        </w:rPr>
        <w:t>из ТО Роскомнадзора;</w:t>
      </w:r>
    </w:p>
    <w:p w:rsidR="00667178" w:rsidRDefault="00540A2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38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540A27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01.07.2020 по 30.09</w:t>
      </w:r>
      <w:r w:rsidR="00964BC8">
        <w:rPr>
          <w:sz w:val="28"/>
          <w:szCs w:val="28"/>
        </w:rPr>
        <w:t>.2020</w:t>
      </w:r>
      <w:r w:rsidR="00667178">
        <w:rPr>
          <w:sz w:val="28"/>
          <w:szCs w:val="28"/>
        </w:rPr>
        <w:t>:</w:t>
      </w:r>
    </w:p>
    <w:p w:rsidR="00667178" w:rsidRDefault="00540A2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289</w:t>
      </w:r>
      <w:r w:rsidR="00667178">
        <w:rPr>
          <w:b/>
          <w:bCs/>
          <w:sz w:val="28"/>
          <w:szCs w:val="28"/>
        </w:rPr>
        <w:t xml:space="preserve"> </w:t>
      </w:r>
      <w:r w:rsidR="00843EF4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621F5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158</w:t>
      </w:r>
      <w:r w:rsidR="00667178">
        <w:rPr>
          <w:b/>
          <w:bCs/>
          <w:sz w:val="28"/>
          <w:szCs w:val="28"/>
        </w:rPr>
        <w:t xml:space="preserve"> </w:t>
      </w:r>
      <w:r w:rsidR="00540A27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621F5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011F7C">
        <w:rPr>
          <w:b/>
          <w:sz w:val="28"/>
          <w:szCs w:val="28"/>
        </w:rPr>
        <w:t xml:space="preserve"> </w:t>
      </w:r>
      <w:r w:rsidR="00693FE7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621F5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93FE7"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 w:rsidR="00621F56"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693FE7">
        <w:rPr>
          <w:b/>
          <w:bCs/>
          <w:sz w:val="28"/>
          <w:szCs w:val="28"/>
        </w:rPr>
        <w:t>555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E47C1E">
        <w:rPr>
          <w:bCs/>
          <w:sz w:val="28"/>
          <w:szCs w:val="28"/>
        </w:rPr>
        <w:t>12</w:t>
      </w:r>
      <w:r w:rsidR="009D3B6C">
        <w:rPr>
          <w:bCs/>
          <w:sz w:val="28"/>
          <w:szCs w:val="28"/>
        </w:rPr>
        <w:t>8</w:t>
      </w:r>
      <w:r w:rsidR="00E47C1E">
        <w:rPr>
          <w:bCs/>
          <w:sz w:val="28"/>
          <w:szCs w:val="28"/>
        </w:rPr>
        <w:t xml:space="preserve"> обращений, поступивших во 2</w:t>
      </w:r>
      <w:r>
        <w:rPr>
          <w:bCs/>
          <w:sz w:val="28"/>
          <w:szCs w:val="28"/>
        </w:rPr>
        <w:t xml:space="preserve"> квартале</w:t>
      </w:r>
      <w:r w:rsidR="00547F49">
        <w:rPr>
          <w:bCs/>
          <w:sz w:val="28"/>
          <w:szCs w:val="28"/>
        </w:rPr>
        <w:t xml:space="preserve"> 2020</w:t>
      </w:r>
      <w:r w:rsidR="007D7BA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946975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C63F46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</w:t>
      </w:r>
      <w:r w:rsidR="00AA2E6B">
        <w:rPr>
          <w:b/>
          <w:bCs/>
          <w:sz w:val="28"/>
          <w:szCs w:val="28"/>
        </w:rPr>
        <w:t>111</w:t>
      </w:r>
      <w:r w:rsidR="00667178">
        <w:rPr>
          <w:b/>
          <w:bCs/>
          <w:sz w:val="28"/>
          <w:szCs w:val="28"/>
        </w:rPr>
        <w:t xml:space="preserve"> </w:t>
      </w:r>
      <w:r w:rsidR="003148F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62C1"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53B67">
        <w:rPr>
          <w:b/>
          <w:bCs/>
          <w:sz w:val="28"/>
          <w:szCs w:val="28"/>
        </w:rPr>
        <w:t>435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53B67">
        <w:rPr>
          <w:b/>
          <w:bCs/>
          <w:sz w:val="28"/>
          <w:szCs w:val="28"/>
        </w:rPr>
        <w:t>2</w:t>
      </w:r>
      <w:r w:rsidR="009662C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662C1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353B6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667178">
        <w:rPr>
          <w:b/>
          <w:bCs/>
          <w:sz w:val="28"/>
          <w:szCs w:val="28"/>
        </w:rPr>
        <w:t xml:space="preserve"> </w:t>
      </w:r>
      <w:r w:rsidR="00190A5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3B67">
        <w:rPr>
          <w:b/>
          <w:bCs/>
          <w:sz w:val="28"/>
          <w:szCs w:val="28"/>
        </w:rPr>
        <w:t>14</w:t>
      </w:r>
      <w:r w:rsidR="00667178">
        <w:rPr>
          <w:b/>
          <w:bCs/>
          <w:sz w:val="28"/>
          <w:szCs w:val="28"/>
        </w:rPr>
        <w:t xml:space="preserve"> </w:t>
      </w:r>
      <w:r w:rsidR="00190A5F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353B6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r w:rsidR="00190A5F">
        <w:rPr>
          <w:sz w:val="28"/>
          <w:szCs w:val="28"/>
        </w:rPr>
        <w:t>Роскомнадзора;</w:t>
      </w:r>
    </w:p>
    <w:p w:rsidR="00190A5F" w:rsidRPr="00353B67" w:rsidRDefault="00190A5F" w:rsidP="009C0A37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353B67">
        <w:rPr>
          <w:sz w:val="28"/>
          <w:szCs w:val="28"/>
        </w:rPr>
        <w:t xml:space="preserve">по </w:t>
      </w:r>
      <w:r w:rsidRPr="00353B67">
        <w:rPr>
          <w:b/>
          <w:sz w:val="28"/>
          <w:szCs w:val="28"/>
        </w:rPr>
        <w:t>2</w:t>
      </w:r>
      <w:r w:rsidR="00353B67">
        <w:rPr>
          <w:sz w:val="28"/>
          <w:szCs w:val="28"/>
        </w:rPr>
        <w:t xml:space="preserve"> обращениям информация принята к сведению.</w:t>
      </w: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353B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7962">
              <w:rPr>
                <w:b/>
              </w:rPr>
              <w:t xml:space="preserve"> квартал </w:t>
            </w:r>
          </w:p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C85CCF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7962" w:rsidTr="001D25CD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C85CCF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1D25CD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5CD" w:rsidRDefault="00C85CCF" w:rsidP="005B5246">
            <w:r w:rsidRPr="00C85CCF">
              <w:lastRenderedPageBreak/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5CCF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CF" w:rsidRDefault="00C85CCF" w:rsidP="005B5246">
            <w:r w:rsidRPr="00C85CCF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B56FF1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B56FF1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</w:tr>
      <w:tr w:rsidR="00D97962" w:rsidTr="007964F7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B56FF1" w:rsidTr="00B56FF1">
        <w:trPr>
          <w:cantSplit/>
          <w:trHeight w:val="58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5B5246">
            <w:pPr>
              <w:rPr>
                <w:i/>
                <w:iCs/>
              </w:rPr>
            </w:pPr>
            <w:r w:rsidRPr="00B56FF1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D97962" w:rsidTr="002113CA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7962" w:rsidTr="002113CA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lastRenderedPageBreak/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2113CA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113CA" w:rsidTr="002113CA">
        <w:trPr>
          <w:cantSplit/>
          <w:trHeight w:val="413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3CA" w:rsidRDefault="002113CA" w:rsidP="005B5246">
            <w:r w:rsidRPr="002113CA">
              <w:t>Вопросы организации деятельности редакций 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CA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964F7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4F7" w:rsidRDefault="002113CA" w:rsidP="005B5246">
            <w:r w:rsidRPr="002113CA">
              <w:t>Нарушение правил агитации в СМИ в предвыборный период и в день голосования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F7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190A5F"/>
    <w:rsid w:val="001D25CD"/>
    <w:rsid w:val="002113CA"/>
    <w:rsid w:val="00226D3E"/>
    <w:rsid w:val="00234798"/>
    <w:rsid w:val="00240946"/>
    <w:rsid w:val="002A0C77"/>
    <w:rsid w:val="002A63BD"/>
    <w:rsid w:val="002D7A54"/>
    <w:rsid w:val="003148F3"/>
    <w:rsid w:val="00353B67"/>
    <w:rsid w:val="00460816"/>
    <w:rsid w:val="00463687"/>
    <w:rsid w:val="00464DC5"/>
    <w:rsid w:val="00470785"/>
    <w:rsid w:val="0048402F"/>
    <w:rsid w:val="004A0FF1"/>
    <w:rsid w:val="004D2909"/>
    <w:rsid w:val="00531374"/>
    <w:rsid w:val="00540A27"/>
    <w:rsid w:val="00547F49"/>
    <w:rsid w:val="005705B0"/>
    <w:rsid w:val="005B43A9"/>
    <w:rsid w:val="005B5246"/>
    <w:rsid w:val="00621F56"/>
    <w:rsid w:val="00667178"/>
    <w:rsid w:val="00693FE7"/>
    <w:rsid w:val="007356B6"/>
    <w:rsid w:val="00773FED"/>
    <w:rsid w:val="00780698"/>
    <w:rsid w:val="00786C27"/>
    <w:rsid w:val="00791398"/>
    <w:rsid w:val="007964F7"/>
    <w:rsid w:val="007A1F77"/>
    <w:rsid w:val="007D7BA5"/>
    <w:rsid w:val="00843EF4"/>
    <w:rsid w:val="00857FCF"/>
    <w:rsid w:val="00946975"/>
    <w:rsid w:val="00964BC8"/>
    <w:rsid w:val="009662C1"/>
    <w:rsid w:val="009D3B6C"/>
    <w:rsid w:val="00A61EAB"/>
    <w:rsid w:val="00A72A99"/>
    <w:rsid w:val="00A84051"/>
    <w:rsid w:val="00AA2E6B"/>
    <w:rsid w:val="00B111FA"/>
    <w:rsid w:val="00B56FF1"/>
    <w:rsid w:val="00B80E02"/>
    <w:rsid w:val="00BB283C"/>
    <w:rsid w:val="00C6048F"/>
    <w:rsid w:val="00C63F46"/>
    <w:rsid w:val="00C85CCF"/>
    <w:rsid w:val="00D21CE3"/>
    <w:rsid w:val="00D2645B"/>
    <w:rsid w:val="00D908DD"/>
    <w:rsid w:val="00D97962"/>
    <w:rsid w:val="00DB29D7"/>
    <w:rsid w:val="00E236DA"/>
    <w:rsid w:val="00E47C1E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35</cp:revision>
  <dcterms:created xsi:type="dcterms:W3CDTF">2020-04-01T13:26:00Z</dcterms:created>
  <dcterms:modified xsi:type="dcterms:W3CDTF">2021-01-28T09:34:00Z</dcterms:modified>
</cp:coreProperties>
</file>