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70" w:rsidRPr="008A7ED6" w:rsidRDefault="00763D70" w:rsidP="00763D7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color w:val="FF0000"/>
          <w:spacing w:val="-1"/>
          <w:sz w:val="28"/>
          <w:szCs w:val="28"/>
        </w:rPr>
      </w:pP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Работа по обращениям граждан, объединений граждан и юридических лиц (далее - граждане) с жалобами на нарушения их прав и законных интересов, поступивших в Управление Роскомнадзора по Приволжскому федеральному округу (далее – Управление), проводится в соответствии с требованиями Федерального закона от 02.05.2006 № 59-ФЗ «О порядке рассмотрения обращений граждан Российской Федерации» и Приказом Роскомнадзора от 10 февраля 2015 г. N 13 "Об утверждении Инструкции по работе с обращениями граждан, объединений граждан и юридических лиц в Федеральной службе по надзору в сфере связи, информационных технологий и массовых коммуникаций и ее территориальных органах"</w:t>
      </w:r>
    </w:p>
    <w:p w:rsidR="00763D70" w:rsidRPr="009E4CB3" w:rsidRDefault="00763D70" w:rsidP="00763D70">
      <w:pPr>
        <w:pStyle w:val="a3"/>
        <w:spacing w:line="240" w:lineRule="auto"/>
        <w:ind w:firstLine="720"/>
        <w:rPr>
          <w:color w:val="auto"/>
        </w:rPr>
      </w:pPr>
      <w:r w:rsidRPr="009E4CB3">
        <w:rPr>
          <w:color w:val="auto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63D70" w:rsidRPr="008A7ED6" w:rsidRDefault="00763D70" w:rsidP="00763D70">
      <w:pPr>
        <w:rPr>
          <w:color w:val="FF0000"/>
        </w:rPr>
      </w:pPr>
    </w:p>
    <w:p w:rsidR="00763D70" w:rsidRPr="00473DD4" w:rsidRDefault="004865A6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30.06</w:t>
      </w:r>
      <w:r w:rsidR="00F71D60">
        <w:rPr>
          <w:sz w:val="28"/>
          <w:szCs w:val="28"/>
        </w:rPr>
        <w:t>.2018</w:t>
      </w:r>
      <w:r w:rsidR="00763D70" w:rsidRPr="00473DD4">
        <w:rPr>
          <w:sz w:val="28"/>
          <w:szCs w:val="28"/>
        </w:rPr>
        <w:t xml:space="preserve"> в Управление Роскомнадзора по Приволжскому федеральному округу поступило </w:t>
      </w:r>
      <w:r>
        <w:rPr>
          <w:b/>
          <w:bCs/>
          <w:sz w:val="28"/>
          <w:szCs w:val="28"/>
        </w:rPr>
        <w:t>858</w:t>
      </w:r>
      <w:r w:rsidR="00F71D6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(</w:t>
      </w:r>
      <w:r>
        <w:rPr>
          <w:sz w:val="28"/>
          <w:szCs w:val="28"/>
        </w:rPr>
        <w:t>843</w:t>
      </w:r>
      <w:r w:rsidR="00763D70" w:rsidRPr="00473DD4">
        <w:rPr>
          <w:sz w:val="28"/>
          <w:szCs w:val="28"/>
        </w:rPr>
        <w:t xml:space="preserve"> первичных, </w:t>
      </w:r>
      <w:r>
        <w:rPr>
          <w:sz w:val="28"/>
          <w:szCs w:val="28"/>
        </w:rPr>
        <w:t>15</w:t>
      </w:r>
      <w:r w:rsidR="00763D70" w:rsidRPr="00473DD4">
        <w:rPr>
          <w:sz w:val="28"/>
          <w:szCs w:val="28"/>
        </w:rPr>
        <w:t xml:space="preserve"> повторных), из них: </w:t>
      </w:r>
    </w:p>
    <w:p w:rsidR="00763D70" w:rsidRPr="00473DD4" w:rsidRDefault="00A709FD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701</w:t>
      </w:r>
      <w:r>
        <w:rPr>
          <w:sz w:val="28"/>
          <w:szCs w:val="28"/>
        </w:rPr>
        <w:t xml:space="preserve"> обращение</w:t>
      </w:r>
      <w:r w:rsidR="00763D70" w:rsidRPr="00473DD4">
        <w:rPr>
          <w:sz w:val="28"/>
          <w:szCs w:val="28"/>
        </w:rPr>
        <w:t xml:space="preserve"> получено непосредственно от граждан;</w:t>
      </w:r>
    </w:p>
    <w:p w:rsidR="00763D70" w:rsidRPr="00473DD4" w:rsidRDefault="00A709FD" w:rsidP="00763D70">
      <w:pPr>
        <w:numPr>
          <w:ilvl w:val="0"/>
          <w:numId w:val="2"/>
        </w:numPr>
        <w:tabs>
          <w:tab w:val="num" w:pos="993"/>
          <w:tab w:val="num" w:pos="1134"/>
          <w:tab w:val="left" w:pos="992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157</w:t>
      </w:r>
      <w:r w:rsidR="00E4627B">
        <w:rPr>
          <w:sz w:val="28"/>
          <w:szCs w:val="28"/>
        </w:rPr>
        <w:t xml:space="preserve"> обращений</w:t>
      </w:r>
      <w:r w:rsidR="00763D70" w:rsidRPr="00473DD4">
        <w:rPr>
          <w:sz w:val="28"/>
          <w:szCs w:val="28"/>
        </w:rPr>
        <w:t xml:space="preserve"> перенаправлено:</w:t>
      </w:r>
    </w:p>
    <w:p w:rsidR="00763D70" w:rsidRPr="00473DD4" w:rsidRDefault="00A709FD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 xml:space="preserve">из центрального аппарата Роскомнадзора; </w:t>
      </w:r>
    </w:p>
    <w:p w:rsidR="00763D70" w:rsidRPr="00473DD4" w:rsidRDefault="00A709FD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из территориальных Управлений Роскомнадзора;</w:t>
      </w:r>
    </w:p>
    <w:p w:rsidR="00763D70" w:rsidRPr="00473DD4" w:rsidRDefault="009B566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763D70">
        <w:rPr>
          <w:b/>
          <w:bCs/>
          <w:sz w:val="28"/>
          <w:szCs w:val="28"/>
        </w:rPr>
        <w:t xml:space="preserve"> </w:t>
      </w:r>
      <w:r w:rsidR="00763D70" w:rsidRPr="00473DD4">
        <w:rPr>
          <w:bCs/>
          <w:sz w:val="28"/>
          <w:szCs w:val="28"/>
        </w:rPr>
        <w:t>из</w:t>
      </w:r>
      <w:r w:rsidR="00763D70" w:rsidRPr="00473DD4">
        <w:rPr>
          <w:sz w:val="28"/>
          <w:szCs w:val="28"/>
        </w:rPr>
        <w:t xml:space="preserve"> органов Прокуратуры;</w:t>
      </w:r>
    </w:p>
    <w:p w:rsidR="00763D70" w:rsidRPr="00473DD4" w:rsidRDefault="009B566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52</w:t>
      </w:r>
      <w:r w:rsidR="00763D70" w:rsidRPr="00473DD4">
        <w:rPr>
          <w:sz w:val="28"/>
          <w:szCs w:val="28"/>
        </w:rPr>
        <w:t xml:space="preserve"> из управлений   </w:t>
      </w:r>
      <w:proofErr w:type="spellStart"/>
      <w:r w:rsidR="00763D70" w:rsidRPr="00473DD4">
        <w:rPr>
          <w:sz w:val="28"/>
          <w:szCs w:val="28"/>
        </w:rPr>
        <w:t>Роспотребнадзора</w:t>
      </w:r>
      <w:proofErr w:type="spellEnd"/>
      <w:r w:rsidR="00763D70" w:rsidRPr="00473DD4">
        <w:rPr>
          <w:sz w:val="28"/>
          <w:szCs w:val="28"/>
        </w:rPr>
        <w:t>;</w:t>
      </w:r>
    </w:p>
    <w:p w:rsidR="00763D70" w:rsidRPr="00473DD4" w:rsidRDefault="009B5664" w:rsidP="00763D70">
      <w:pPr>
        <w:pStyle w:val="11"/>
        <w:widowControl/>
        <w:numPr>
          <w:ilvl w:val="1"/>
          <w:numId w:val="3"/>
        </w:numPr>
        <w:tabs>
          <w:tab w:val="clear" w:pos="2160"/>
          <w:tab w:val="num" w:pos="1440"/>
          <w:tab w:val="left" w:pos="9922"/>
        </w:tabs>
        <w:autoSpaceDE/>
        <w:adjustRightInd/>
        <w:ind w:hanging="1080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763D70" w:rsidRPr="009B5664">
        <w:rPr>
          <w:b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из других организаций.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</w:pPr>
    </w:p>
    <w:p w:rsidR="00763D70" w:rsidRPr="00473DD4" w:rsidRDefault="00230EBF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C4A15">
        <w:rPr>
          <w:sz w:val="28"/>
          <w:szCs w:val="28"/>
        </w:rPr>
        <w:t>период с 01.04.2018 по 30.06</w:t>
      </w:r>
      <w:r>
        <w:rPr>
          <w:sz w:val="28"/>
          <w:szCs w:val="28"/>
        </w:rPr>
        <w:t>.2018</w:t>
      </w:r>
      <w:r w:rsidR="00763D70" w:rsidRPr="00473DD4">
        <w:rPr>
          <w:sz w:val="28"/>
          <w:szCs w:val="28"/>
        </w:rPr>
        <w:t>:</w:t>
      </w:r>
    </w:p>
    <w:p w:rsidR="00763D70" w:rsidRDefault="008A61C2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63D70" w:rsidRPr="00473D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8A1129" w:rsidRPr="00473DD4" w:rsidRDefault="008A1129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A61C2" w:rsidRPr="008A61C2">
        <w:rPr>
          <w:bCs/>
          <w:sz w:val="28"/>
          <w:szCs w:val="28"/>
        </w:rPr>
        <w:t xml:space="preserve"> устное</w:t>
      </w:r>
      <w:r>
        <w:rPr>
          <w:b/>
          <w:bCs/>
          <w:sz w:val="28"/>
          <w:szCs w:val="28"/>
        </w:rPr>
        <w:t xml:space="preserve"> </w:t>
      </w:r>
      <w:r w:rsidR="008A61C2">
        <w:rPr>
          <w:bCs/>
          <w:sz w:val="28"/>
          <w:szCs w:val="28"/>
        </w:rPr>
        <w:t>обращение;</w:t>
      </w:r>
    </w:p>
    <w:p w:rsidR="00763D70" w:rsidRPr="00473DD4" w:rsidRDefault="008A61C2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223 </w:t>
      </w:r>
      <w:r w:rsidR="008A1129">
        <w:rPr>
          <w:sz w:val="28"/>
          <w:szCs w:val="28"/>
        </w:rPr>
        <w:t>обращения</w:t>
      </w:r>
      <w:r w:rsidR="00763D70" w:rsidRPr="00473DD4">
        <w:rPr>
          <w:sz w:val="28"/>
          <w:szCs w:val="28"/>
        </w:rPr>
        <w:t xml:space="preserve"> получено почтовой связью;</w:t>
      </w:r>
    </w:p>
    <w:p w:rsidR="00763D70" w:rsidRPr="00473DD4" w:rsidRDefault="008A61C2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45</w:t>
      </w:r>
      <w:r w:rsidR="00763D7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по электронной почте;</w:t>
      </w:r>
    </w:p>
    <w:p w:rsidR="00763D70" w:rsidRPr="00473DD4" w:rsidRDefault="008A61C2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556</w:t>
      </w:r>
      <w:r w:rsidR="00763D70" w:rsidRPr="00473DD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получено с сайта службы;</w:t>
      </w:r>
    </w:p>
    <w:p w:rsidR="00763D70" w:rsidRPr="00473DD4" w:rsidRDefault="008A61C2" w:rsidP="00763D70">
      <w:pPr>
        <w:numPr>
          <w:ilvl w:val="0"/>
          <w:numId w:val="4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763D70">
        <w:rPr>
          <w:b/>
          <w:bCs/>
          <w:sz w:val="28"/>
          <w:szCs w:val="28"/>
        </w:rPr>
        <w:t xml:space="preserve"> </w:t>
      </w:r>
      <w:r w:rsidR="008F1B97">
        <w:rPr>
          <w:bCs/>
          <w:sz w:val="28"/>
          <w:szCs w:val="28"/>
        </w:rPr>
        <w:t>обращений</w:t>
      </w:r>
      <w:r w:rsidR="00763D70" w:rsidRPr="00473DD4">
        <w:rPr>
          <w:bCs/>
          <w:sz w:val="28"/>
          <w:szCs w:val="28"/>
        </w:rPr>
        <w:t xml:space="preserve"> получено по СЭД</w:t>
      </w:r>
      <w:r>
        <w:rPr>
          <w:bCs/>
          <w:sz w:val="28"/>
          <w:szCs w:val="28"/>
        </w:rPr>
        <w:t>.</w:t>
      </w:r>
    </w:p>
    <w:p w:rsidR="00763D70" w:rsidRPr="00473DD4" w:rsidRDefault="00763D70" w:rsidP="00763D70">
      <w:pPr>
        <w:tabs>
          <w:tab w:val="left" w:pos="9922"/>
        </w:tabs>
        <w:jc w:val="both"/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За отчетный период рассмотрено </w:t>
      </w:r>
      <w:r w:rsidR="0066763C">
        <w:rPr>
          <w:b/>
          <w:bCs/>
          <w:sz w:val="28"/>
          <w:szCs w:val="28"/>
        </w:rPr>
        <w:t>708</w:t>
      </w:r>
      <w:r w:rsidR="006B6CFA">
        <w:rPr>
          <w:b/>
          <w:bCs/>
          <w:sz w:val="28"/>
          <w:szCs w:val="28"/>
        </w:rPr>
        <w:t xml:space="preserve"> </w:t>
      </w:r>
      <w:r w:rsidR="0066763C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="0066763C">
        <w:rPr>
          <w:sz w:val="28"/>
          <w:szCs w:val="28"/>
        </w:rPr>
        <w:t>граждан.</w:t>
      </w:r>
    </w:p>
    <w:p w:rsidR="0066763C" w:rsidRDefault="0066763C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</w:t>
      </w:r>
      <w:r w:rsidR="0066763C">
        <w:rPr>
          <w:sz w:val="28"/>
          <w:szCs w:val="28"/>
        </w:rPr>
        <w:t xml:space="preserve"> 30.06</w:t>
      </w:r>
      <w:r w:rsidR="00A7316A">
        <w:rPr>
          <w:sz w:val="28"/>
          <w:szCs w:val="28"/>
        </w:rPr>
        <w:t>.2018</w:t>
      </w:r>
      <w:r w:rsidRPr="00473DD4">
        <w:rPr>
          <w:sz w:val="28"/>
          <w:szCs w:val="28"/>
        </w:rPr>
        <w:t xml:space="preserve"> </w:t>
      </w:r>
      <w:r w:rsidR="0066763C">
        <w:rPr>
          <w:b/>
          <w:bCs/>
          <w:sz w:val="28"/>
          <w:szCs w:val="28"/>
        </w:rPr>
        <w:t>150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обращений находится на рассмотрении.</w:t>
      </w:r>
    </w:p>
    <w:p w:rsidR="00763D70" w:rsidRPr="00473DD4" w:rsidRDefault="00763D70" w:rsidP="00763D70">
      <w:pPr>
        <w:tabs>
          <w:tab w:val="left" w:pos="9922"/>
        </w:tabs>
        <w:ind w:firstLine="720"/>
        <w:jc w:val="both"/>
      </w:pPr>
    </w:p>
    <w:p w:rsidR="00763D70" w:rsidRPr="00473DD4" w:rsidRDefault="00763D70" w:rsidP="00763D7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473DD4">
        <w:rPr>
          <w:sz w:val="28"/>
          <w:szCs w:val="28"/>
        </w:rPr>
        <w:t>После рассмотрения и анализа представленных документов:</w:t>
      </w:r>
    </w:p>
    <w:p w:rsidR="00763D70" w:rsidRPr="00473DD4" w:rsidRDefault="00763D70" w:rsidP="00763D70">
      <w:pPr>
        <w:numPr>
          <w:ilvl w:val="0"/>
          <w:numId w:val="5"/>
        </w:numPr>
        <w:tabs>
          <w:tab w:val="clear" w:pos="888"/>
          <w:tab w:val="num" w:pos="0"/>
          <w:tab w:val="left" w:pos="1080"/>
          <w:tab w:val="left" w:pos="9922"/>
        </w:tabs>
        <w:ind w:left="0" w:firstLine="528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66763C">
        <w:rPr>
          <w:b/>
          <w:bCs/>
          <w:sz w:val="28"/>
          <w:szCs w:val="28"/>
        </w:rPr>
        <w:t>9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 xml:space="preserve">обращениям поступили заявления о прекращении рассмотрения обращений; </w:t>
      </w:r>
    </w:p>
    <w:p w:rsidR="00763D70" w:rsidRPr="00473DD4" w:rsidRDefault="00763D70" w:rsidP="00763D70">
      <w:pPr>
        <w:numPr>
          <w:ilvl w:val="0"/>
          <w:numId w:val="5"/>
        </w:numPr>
        <w:tabs>
          <w:tab w:val="left" w:pos="9922"/>
        </w:tabs>
        <w:ind w:left="0" w:firstLine="528"/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66763C">
        <w:rPr>
          <w:b/>
          <w:bCs/>
          <w:sz w:val="28"/>
          <w:szCs w:val="28"/>
        </w:rPr>
        <w:t>549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763D70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 w:rsidRPr="00473DD4">
        <w:rPr>
          <w:sz w:val="28"/>
          <w:szCs w:val="28"/>
        </w:rPr>
        <w:lastRenderedPageBreak/>
        <w:t xml:space="preserve">по </w:t>
      </w:r>
      <w:r w:rsidR="0066763C">
        <w:rPr>
          <w:b/>
          <w:bCs/>
          <w:sz w:val="28"/>
          <w:szCs w:val="28"/>
        </w:rPr>
        <w:t>80</w:t>
      </w:r>
      <w:r w:rsidRPr="00473DD4">
        <w:rPr>
          <w:b/>
          <w:bCs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обращениям меры приняты;</w:t>
      </w:r>
    </w:p>
    <w:p w:rsidR="00763D70" w:rsidRDefault="00763D70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 w:rsidRPr="00473DD4">
        <w:rPr>
          <w:sz w:val="28"/>
          <w:szCs w:val="28"/>
        </w:rPr>
        <w:t xml:space="preserve">по </w:t>
      </w:r>
      <w:r w:rsidR="005B0900">
        <w:rPr>
          <w:b/>
          <w:sz w:val="28"/>
          <w:szCs w:val="28"/>
        </w:rPr>
        <w:t>34</w:t>
      </w:r>
      <w:r w:rsidR="00F92C37">
        <w:rPr>
          <w:b/>
          <w:sz w:val="28"/>
          <w:szCs w:val="28"/>
        </w:rPr>
        <w:t xml:space="preserve"> </w:t>
      </w:r>
      <w:r w:rsidRPr="00473DD4">
        <w:rPr>
          <w:sz w:val="28"/>
          <w:szCs w:val="28"/>
        </w:rPr>
        <w:t>обращениям информация принята к сведению;</w:t>
      </w:r>
    </w:p>
    <w:p w:rsidR="00763D70" w:rsidRPr="00473DD4" w:rsidRDefault="00D144C7" w:rsidP="00763D70">
      <w:pPr>
        <w:numPr>
          <w:ilvl w:val="0"/>
          <w:numId w:val="5"/>
        </w:numPr>
        <w:tabs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51EE3">
        <w:rPr>
          <w:b/>
          <w:bCs/>
          <w:sz w:val="28"/>
          <w:szCs w:val="28"/>
        </w:rPr>
        <w:t>6</w:t>
      </w:r>
      <w:r w:rsidR="00763D70" w:rsidRPr="00473DD4">
        <w:rPr>
          <w:b/>
          <w:bCs/>
          <w:sz w:val="28"/>
          <w:szCs w:val="28"/>
        </w:rPr>
        <w:t> </w:t>
      </w:r>
      <w:r w:rsidR="00763D70" w:rsidRPr="00473DD4">
        <w:rPr>
          <w:sz w:val="28"/>
          <w:szCs w:val="28"/>
        </w:rPr>
        <w:t>обращения были переадресованы по принадлежности, из них:</w:t>
      </w:r>
    </w:p>
    <w:p w:rsidR="00763D70" w:rsidRPr="00473DD4" w:rsidRDefault="005B0900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>
        <w:rPr>
          <w:sz w:val="28"/>
          <w:szCs w:val="28"/>
        </w:rPr>
        <w:t>обращений</w:t>
      </w:r>
      <w:r w:rsidR="00763D70" w:rsidRPr="00473DD4">
        <w:rPr>
          <w:sz w:val="28"/>
          <w:szCs w:val="28"/>
        </w:rPr>
        <w:t xml:space="preserve"> направлено в Роскомнадзор;</w:t>
      </w:r>
    </w:p>
    <w:p w:rsidR="00763D70" w:rsidRPr="00473DD4" w:rsidRDefault="005B0900" w:rsidP="00763D70">
      <w:pPr>
        <w:pStyle w:val="1"/>
        <w:numPr>
          <w:ilvl w:val="1"/>
          <w:numId w:val="5"/>
        </w:numPr>
        <w:tabs>
          <w:tab w:val="left" w:pos="1620"/>
          <w:tab w:val="left" w:pos="992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- в территориальные Управления Роскомнадзора;</w:t>
      </w:r>
    </w:p>
    <w:p w:rsidR="00763D70" w:rsidRPr="00473DD4" w:rsidRDefault="005B0900" w:rsidP="00763D70">
      <w:pPr>
        <w:pStyle w:val="11"/>
        <w:widowControl/>
        <w:numPr>
          <w:ilvl w:val="1"/>
          <w:numId w:val="5"/>
        </w:numPr>
        <w:tabs>
          <w:tab w:val="left" w:pos="9922"/>
        </w:tabs>
        <w:autoSpaceDE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144C7">
        <w:rPr>
          <w:b/>
          <w:bCs/>
          <w:sz w:val="28"/>
          <w:szCs w:val="28"/>
        </w:rPr>
        <w:t>9</w:t>
      </w:r>
      <w:r w:rsidR="00763D70" w:rsidRPr="00473DD4">
        <w:rPr>
          <w:b/>
          <w:bCs/>
          <w:sz w:val="28"/>
          <w:szCs w:val="28"/>
        </w:rPr>
        <w:t xml:space="preserve"> </w:t>
      </w:r>
      <w:r w:rsidR="00763D70" w:rsidRPr="00473DD4">
        <w:rPr>
          <w:sz w:val="28"/>
          <w:szCs w:val="28"/>
        </w:rPr>
        <w:t>-  в другие организации.</w:t>
      </w:r>
    </w:p>
    <w:p w:rsidR="00763D70" w:rsidRPr="00473DD4" w:rsidRDefault="00763D70" w:rsidP="00763D70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63D70" w:rsidRPr="00473DD4" w:rsidRDefault="00763D70" w:rsidP="00763D70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763D70" w:rsidRPr="008A7ED6" w:rsidRDefault="00763D70" w:rsidP="00763D70">
      <w:pPr>
        <w:rPr>
          <w:color w:val="FF0000"/>
          <w:szCs w:val="28"/>
        </w:rPr>
      </w:pPr>
    </w:p>
    <w:p w:rsidR="00763D70" w:rsidRPr="005F69CB" w:rsidRDefault="00763D70" w:rsidP="00763D7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F69CB">
        <w:rPr>
          <w:sz w:val="28"/>
          <w:szCs w:val="28"/>
        </w:rPr>
        <w:t xml:space="preserve">Анализ поступивших обращений по тематике приведен в </w:t>
      </w:r>
      <w:r w:rsidR="00161941">
        <w:rPr>
          <w:sz w:val="28"/>
          <w:szCs w:val="28"/>
        </w:rPr>
        <w:t xml:space="preserve">таблице </w:t>
      </w: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  <w:bookmarkStart w:id="0" w:name="_GoBack"/>
      <w:bookmarkEnd w:id="0"/>
    </w:p>
    <w:p w:rsidR="00763D70" w:rsidRDefault="00161941" w:rsidP="00763D70">
      <w:pPr>
        <w:ind w:left="6372"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Таблица </w:t>
      </w: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tbl>
      <w:tblPr>
        <w:tblW w:w="78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580"/>
      </w:tblGrid>
      <w:tr w:rsidR="00D51EE3" w:rsidRPr="00D51EE3" w:rsidTr="00D51EE3">
        <w:trPr>
          <w:trHeight w:val="559"/>
          <w:tblHeader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  <w:bCs/>
              </w:rPr>
            </w:pPr>
            <w:r w:rsidRPr="00D51EE3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  <w:bCs/>
              </w:rPr>
            </w:pPr>
            <w:r w:rsidRPr="00D51EE3">
              <w:rPr>
                <w:b/>
                <w:bCs/>
              </w:rPr>
              <w:t> Количество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FFFFFF" w:themeFill="background1"/>
            <w:vAlign w:val="center"/>
            <w:hideMark/>
          </w:tcPr>
          <w:p w:rsidR="00D51EE3" w:rsidRPr="00D51EE3" w:rsidRDefault="00D51EE3" w:rsidP="00D51EE3">
            <w:pPr>
              <w:ind w:firstLineChars="100" w:firstLine="241"/>
              <w:rPr>
                <w:b/>
              </w:rPr>
            </w:pPr>
            <w:r w:rsidRPr="00D51EE3">
              <w:rPr>
                <w:b/>
              </w:rPr>
              <w:t>Обращения граждан по основной деятельности</w:t>
            </w:r>
          </w:p>
        </w:tc>
        <w:tc>
          <w:tcPr>
            <w:tcW w:w="1580" w:type="dxa"/>
            <w:shd w:val="clear" w:color="auto" w:fill="FFFFFF" w:themeFill="background1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858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rPr>
                <w:b/>
              </w:rPr>
            </w:pPr>
            <w:r w:rsidRPr="00D51EE3">
              <w:rPr>
                <w:b/>
              </w:rPr>
              <w:t>Вопросы административного характера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44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Благодарности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не относящиеся к деятельности Роскомнадзора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29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правового характера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3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Отзыв обращения, заявления, жалобы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4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Интернет и информационные технологии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288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198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Сообщения о нарушении положений 187-ФЗ (распространение аудио и видео с нарушением авторских прав)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Сообщения о нарушении положений 398-ФЗ (экстремизм)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3</w:t>
            </w:r>
          </w:p>
        </w:tc>
      </w:tr>
      <w:tr w:rsidR="00D51EE3" w:rsidRPr="00D51EE3" w:rsidTr="00D51EE3">
        <w:trPr>
          <w:trHeight w:val="112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Требования о разблокировке сайтов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78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Персональные данные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229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lastRenderedPageBreak/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23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защиты персональных данных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195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Разъяснение вопросов по применению 152-ФЗ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11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Связь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280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115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22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эксплуатации оборудования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3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качества оказания услуг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97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rPr>
                <w:i/>
              </w:rPr>
            </w:pPr>
            <w:r w:rsidRPr="00D51EE3">
              <w:rPr>
                <w:i/>
              </w:rPr>
              <w:t>Вопросы предоставления услуг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58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400" w:firstLine="960"/>
              <w:rPr>
                <w:i/>
              </w:rPr>
            </w:pPr>
            <w:r w:rsidRPr="00D51EE3">
              <w:rPr>
                <w:i/>
              </w:rPr>
              <w:t xml:space="preserve">Жалобы на операторов:  </w:t>
            </w:r>
            <w:proofErr w:type="spellStart"/>
            <w:r w:rsidRPr="00D51EE3">
              <w:rPr>
                <w:i/>
              </w:rPr>
              <w:t>Вымпелком</w:t>
            </w:r>
            <w:proofErr w:type="spellEnd"/>
            <w:r w:rsidRPr="00D51EE3">
              <w:rPr>
                <w:i/>
              </w:rPr>
              <w:t xml:space="preserve"> (Билайн), МТС, Мегафон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39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17</w:t>
            </w:r>
          </w:p>
        </w:tc>
      </w:tr>
      <w:tr w:rsidR="00D51EE3" w:rsidRPr="00D51EE3" w:rsidTr="00D51EE3">
        <w:trPr>
          <w:trHeight w:val="112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8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5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</w:t>
            </w:r>
          </w:p>
        </w:tc>
      </w:tr>
      <w:tr w:rsidR="00D51EE3" w:rsidRPr="00D51EE3" w:rsidTr="00D51EE3">
        <w:trPr>
          <w:trHeight w:val="1962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D51EE3">
              <w:rPr>
                <w:i/>
              </w:rPr>
              <w:t>непредоставленные</w:t>
            </w:r>
            <w:proofErr w:type="spellEnd"/>
            <w:r w:rsidRPr="00D51EE3">
              <w:rPr>
                <w:i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2</w:t>
            </w:r>
          </w:p>
        </w:tc>
      </w:tr>
      <w:tr w:rsidR="00D51EE3" w:rsidRPr="00D51EE3" w:rsidTr="00D51EE3">
        <w:trPr>
          <w:trHeight w:val="168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ind w:firstLineChars="500" w:firstLine="1200"/>
              <w:rPr>
                <w:i/>
              </w:rPr>
            </w:pPr>
            <w:r w:rsidRPr="00D51EE3">
              <w:rPr>
                <w:i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5</w:t>
            </w:r>
          </w:p>
        </w:tc>
      </w:tr>
      <w:tr w:rsidR="00D51EE3" w:rsidRPr="00D51EE3" w:rsidTr="00D51EE3">
        <w:trPr>
          <w:trHeight w:val="168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lastRenderedPageBreak/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6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Обжалование в ТО ранее данных ответов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4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Досыл документов по запросу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12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Другие вопросы в сфере связи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21</w:t>
            </w:r>
          </w:p>
        </w:tc>
      </w:tr>
      <w:tr w:rsidR="00D51EE3" w:rsidRPr="00D51EE3" w:rsidTr="00D51EE3">
        <w:trPr>
          <w:trHeight w:val="282"/>
        </w:trPr>
        <w:tc>
          <w:tcPr>
            <w:tcW w:w="630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ind w:firstLineChars="200" w:firstLine="482"/>
              <w:jc w:val="center"/>
              <w:rPr>
                <w:b/>
              </w:rPr>
            </w:pPr>
            <w:r w:rsidRPr="00D51EE3">
              <w:rPr>
                <w:b/>
              </w:rPr>
              <w:t>СМИ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51EE3" w:rsidRPr="00D51EE3" w:rsidRDefault="00D51EE3" w:rsidP="00D51EE3">
            <w:pPr>
              <w:jc w:val="center"/>
              <w:rPr>
                <w:b/>
              </w:rPr>
            </w:pPr>
            <w:r w:rsidRPr="00D51EE3">
              <w:rPr>
                <w:b/>
              </w:rPr>
              <w:t>17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Вопросы организации деятельности редакций СМИ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3</w:t>
            </w:r>
          </w:p>
        </w:tc>
      </w:tr>
      <w:tr w:rsidR="00D51EE3" w:rsidRPr="00D51EE3" w:rsidTr="00D51EE3">
        <w:trPr>
          <w:trHeight w:val="840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 xml:space="preserve">Вопросы по содержанию материалов, публикуемых в СМИ, в </w:t>
            </w:r>
            <w:proofErr w:type="spellStart"/>
            <w:r w:rsidRPr="00D51EE3">
              <w:t>т.ч</w:t>
            </w:r>
            <w:proofErr w:type="spellEnd"/>
            <w:r w:rsidRPr="00D51EE3">
              <w:t>. телевизионных передач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10</w:t>
            </w:r>
          </w:p>
        </w:tc>
      </w:tr>
      <w:tr w:rsidR="00D51EE3" w:rsidRPr="00D51EE3" w:rsidTr="00D51EE3">
        <w:trPr>
          <w:trHeight w:val="559"/>
        </w:trPr>
        <w:tc>
          <w:tcPr>
            <w:tcW w:w="630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r w:rsidRPr="00D51EE3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51EE3" w:rsidRPr="00D51EE3" w:rsidRDefault="00D51EE3" w:rsidP="00D51EE3">
            <w:pPr>
              <w:jc w:val="center"/>
            </w:pPr>
            <w:r w:rsidRPr="00D51EE3">
              <w:t>4</w:t>
            </w:r>
          </w:p>
        </w:tc>
      </w:tr>
    </w:tbl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D51EE3" w:rsidRDefault="00D51EE3" w:rsidP="00763D70">
      <w:pPr>
        <w:ind w:left="6372" w:firstLine="708"/>
        <w:jc w:val="right"/>
        <w:rPr>
          <w:b/>
          <w:bCs/>
          <w:i/>
          <w:iCs/>
        </w:rPr>
      </w:pPr>
    </w:p>
    <w:p w:rsidR="004645BF" w:rsidRPr="00473DD4" w:rsidRDefault="004645BF" w:rsidP="004645BF">
      <w:pPr>
        <w:ind w:left="6372" w:firstLine="708"/>
        <w:jc w:val="center"/>
      </w:pPr>
    </w:p>
    <w:sectPr w:rsidR="004645BF" w:rsidRPr="00473DD4" w:rsidSect="0013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3D70"/>
    <w:rsid w:val="00017196"/>
    <w:rsid w:val="000C5CBF"/>
    <w:rsid w:val="00137EFE"/>
    <w:rsid w:val="00157134"/>
    <w:rsid w:val="00161941"/>
    <w:rsid w:val="001B0A98"/>
    <w:rsid w:val="001B11C3"/>
    <w:rsid w:val="001F7C38"/>
    <w:rsid w:val="00230EBF"/>
    <w:rsid w:val="00302997"/>
    <w:rsid w:val="00323FC0"/>
    <w:rsid w:val="003361A3"/>
    <w:rsid w:val="003C4A15"/>
    <w:rsid w:val="004022F8"/>
    <w:rsid w:val="004645BF"/>
    <w:rsid w:val="00485A03"/>
    <w:rsid w:val="004865A6"/>
    <w:rsid w:val="00513CD2"/>
    <w:rsid w:val="005809D4"/>
    <w:rsid w:val="005B0900"/>
    <w:rsid w:val="0066763C"/>
    <w:rsid w:val="0069461B"/>
    <w:rsid w:val="006B6CFA"/>
    <w:rsid w:val="00731690"/>
    <w:rsid w:val="00763D70"/>
    <w:rsid w:val="008A1129"/>
    <w:rsid w:val="008A61C2"/>
    <w:rsid w:val="008F1B97"/>
    <w:rsid w:val="009238DB"/>
    <w:rsid w:val="0098213C"/>
    <w:rsid w:val="009B5664"/>
    <w:rsid w:val="009B6647"/>
    <w:rsid w:val="00A709FD"/>
    <w:rsid w:val="00A7316A"/>
    <w:rsid w:val="00AC0084"/>
    <w:rsid w:val="00AD16AF"/>
    <w:rsid w:val="00B721ED"/>
    <w:rsid w:val="00BC2837"/>
    <w:rsid w:val="00CA7916"/>
    <w:rsid w:val="00CD22B4"/>
    <w:rsid w:val="00CD3D84"/>
    <w:rsid w:val="00D144C7"/>
    <w:rsid w:val="00D51EE3"/>
    <w:rsid w:val="00E4627B"/>
    <w:rsid w:val="00E67BC1"/>
    <w:rsid w:val="00EA104B"/>
    <w:rsid w:val="00EE4E6C"/>
    <w:rsid w:val="00F71D60"/>
    <w:rsid w:val="00F92C37"/>
    <w:rsid w:val="00FB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227"/>
  <w15:docId w15:val="{645A8E00-C627-4F55-8806-DC42DBAE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D70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3D70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1">
    <w:name w:val="Абзац списка1"/>
    <w:basedOn w:val="a"/>
    <w:qFormat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Абзац списка11"/>
    <w:basedOn w:val="a"/>
    <w:rsid w:val="00763D7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40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ПФО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Novivskaya</dc:creator>
  <cp:keywords/>
  <dc:description/>
  <cp:lastModifiedBy>user</cp:lastModifiedBy>
  <cp:revision>46</cp:revision>
  <dcterms:created xsi:type="dcterms:W3CDTF">2018-04-02T05:58:00Z</dcterms:created>
  <dcterms:modified xsi:type="dcterms:W3CDTF">2018-07-04T08:41:00Z</dcterms:modified>
</cp:coreProperties>
</file>